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F3" w:rsidRPr="002C6DBB" w:rsidRDefault="000336F3" w:rsidP="00033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Белгородская и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Старооскольская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митрополия</w:t>
      </w:r>
    </w:p>
    <w:p w:rsidR="000336F3" w:rsidRPr="002C6DBB" w:rsidRDefault="000336F3" w:rsidP="00033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</w:p>
    <w:p w:rsidR="00310303" w:rsidRPr="002C6DBB" w:rsidRDefault="000336F3" w:rsidP="00033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Белгородская православная духовная семинария </w:t>
      </w:r>
    </w:p>
    <w:p w:rsidR="000336F3" w:rsidRPr="002C6DBB" w:rsidRDefault="000336F3" w:rsidP="00033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(с миссионерской направленностью)</w:t>
      </w:r>
    </w:p>
    <w:p w:rsidR="000336F3" w:rsidRPr="002C6DBB" w:rsidRDefault="000336F3" w:rsidP="000336F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336F3" w:rsidRPr="002C6DBB" w:rsidRDefault="000336F3" w:rsidP="000336F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0336F3" w:rsidRPr="002C6DBB" w:rsidRDefault="000336F3" w:rsidP="00033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Белгородская православная духовная семинария (с миссионерской направленностью) приглашает принять участие в Международной научно-практической конференции «</w:t>
      </w:r>
      <w:r w:rsidR="002C6DBB" w:rsidRPr="002C6DBB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«Благоверный князь православной Руси – святой воин Александр Невский».</w:t>
      </w:r>
    </w:p>
    <w:p w:rsidR="000336F3" w:rsidRPr="002C6DBB" w:rsidRDefault="000336F3" w:rsidP="00033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Мы приглашаем преподавателей и студентов вузов и духовных учебных заведений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участие в конференции </w:t>
      </w:r>
      <w:r w:rsidR="002C6DBB" w:rsidRPr="002C6DBB">
        <w:rPr>
          <w:rFonts w:ascii="Times New Roman" w:hAnsi="Times New Roman" w:cs="Times New Roman"/>
          <w:sz w:val="24"/>
          <w:szCs w:val="24"/>
        </w:rPr>
        <w:t>16</w:t>
      </w:r>
      <w:r w:rsidRPr="002C6DBB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DD356A" w:rsidRPr="002C6DBB">
        <w:rPr>
          <w:rFonts w:ascii="Times New Roman" w:hAnsi="Times New Roman" w:cs="Times New Roman"/>
          <w:sz w:val="24"/>
          <w:szCs w:val="24"/>
        </w:rPr>
        <w:t>2</w:t>
      </w:r>
      <w:r w:rsidR="002C6DBB" w:rsidRPr="002C6DBB">
        <w:rPr>
          <w:rFonts w:ascii="Times New Roman" w:hAnsi="Times New Roman" w:cs="Times New Roman"/>
          <w:sz w:val="24"/>
          <w:szCs w:val="24"/>
        </w:rPr>
        <w:t>1</w:t>
      </w:r>
      <w:r w:rsidRPr="002C6DBB">
        <w:rPr>
          <w:rFonts w:ascii="Times New Roman" w:hAnsi="Times New Roman" w:cs="Times New Roman"/>
          <w:sz w:val="24"/>
          <w:szCs w:val="24"/>
        </w:rPr>
        <w:t xml:space="preserve"> года в Белгородской православной духовной семинарии (</w:t>
      </w:r>
      <w:r w:rsidR="00DD356A" w:rsidRPr="002C6DBB">
        <w:rPr>
          <w:rFonts w:ascii="Times New Roman" w:hAnsi="Times New Roman" w:cs="Times New Roman"/>
          <w:sz w:val="24"/>
          <w:szCs w:val="24"/>
        </w:rPr>
        <w:t>308015</w:t>
      </w:r>
      <w:r w:rsidRPr="002C6DBB">
        <w:rPr>
          <w:rFonts w:ascii="Times New Roman" w:hAnsi="Times New Roman" w:cs="Times New Roman"/>
          <w:sz w:val="24"/>
          <w:szCs w:val="24"/>
        </w:rPr>
        <w:t>, г. Белгород, Белгородский проспект, 75).</w:t>
      </w:r>
    </w:p>
    <w:p w:rsidR="000336F3" w:rsidRPr="002C6DBB" w:rsidRDefault="000336F3" w:rsidP="00033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Ученые, преподаватели, аспиранты, магистранты и студенты, желающие принять участие в конференции, могут </w:t>
      </w:r>
      <w:r w:rsidRPr="002C6DBB">
        <w:rPr>
          <w:rFonts w:ascii="Times New Roman" w:hAnsi="Times New Roman" w:cs="Times New Roman"/>
          <w:b/>
          <w:sz w:val="24"/>
          <w:szCs w:val="24"/>
        </w:rPr>
        <w:t>подготовить доклады в рамках следующих тематических направлений:</w:t>
      </w:r>
    </w:p>
    <w:p w:rsidR="000336F3" w:rsidRPr="002C6DBB" w:rsidRDefault="000336F3" w:rsidP="00033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56A" w:rsidRPr="002C6DBB" w:rsidRDefault="002C6DBB" w:rsidP="00DD356A">
      <w:pPr>
        <w:pStyle w:val="Default"/>
        <w:numPr>
          <w:ilvl w:val="0"/>
          <w:numId w:val="1"/>
        </w:numPr>
        <w:ind w:left="426"/>
        <w:jc w:val="both"/>
      </w:pPr>
      <w:r w:rsidRPr="002C6DBB">
        <w:t>Духовное осмысление вклада святого благоверного великого князя Александра Невского в становление православия на Руси</w:t>
      </w:r>
      <w:r w:rsidR="00DD356A" w:rsidRPr="002C6DBB">
        <w:t>;</w:t>
      </w:r>
    </w:p>
    <w:p w:rsidR="002C6DBB" w:rsidRPr="002C6DBB" w:rsidRDefault="002C6DBB" w:rsidP="00DD356A">
      <w:pPr>
        <w:pStyle w:val="Default"/>
        <w:numPr>
          <w:ilvl w:val="0"/>
          <w:numId w:val="1"/>
        </w:numPr>
        <w:ind w:left="426"/>
        <w:jc w:val="both"/>
      </w:pPr>
      <w:r w:rsidRPr="002C6DBB">
        <w:t>Историческая память народа и духовное значение благоверного великого князя Александра Невского;</w:t>
      </w:r>
    </w:p>
    <w:p w:rsidR="00DD356A" w:rsidRPr="002C6DBB" w:rsidRDefault="00DD356A" w:rsidP="00DD356A">
      <w:pPr>
        <w:pStyle w:val="Default"/>
        <w:numPr>
          <w:ilvl w:val="0"/>
          <w:numId w:val="1"/>
        </w:numPr>
        <w:ind w:left="426"/>
        <w:jc w:val="both"/>
      </w:pPr>
      <w:r w:rsidRPr="002C6DBB">
        <w:t xml:space="preserve">Духовность в условиях войны: </w:t>
      </w:r>
      <w:proofErr w:type="spellStart"/>
      <w:r w:rsidRPr="002C6DBB">
        <w:t>батальность</w:t>
      </w:r>
      <w:proofErr w:type="spellEnd"/>
      <w:r w:rsidRPr="002C6DBB">
        <w:t xml:space="preserve"> и религиозность;</w:t>
      </w:r>
    </w:p>
    <w:p w:rsidR="00DD356A" w:rsidRPr="002C6DBB" w:rsidRDefault="00DD356A" w:rsidP="00DD356A">
      <w:pPr>
        <w:pStyle w:val="Default"/>
        <w:numPr>
          <w:ilvl w:val="0"/>
          <w:numId w:val="1"/>
        </w:numPr>
        <w:ind w:left="426"/>
        <w:jc w:val="both"/>
      </w:pPr>
      <w:r w:rsidRPr="002C6DBB">
        <w:t xml:space="preserve">Православная миссия и </w:t>
      </w:r>
      <w:r w:rsidR="002C6DBB" w:rsidRPr="002C6DBB">
        <w:t>история православия на Руси</w:t>
      </w:r>
      <w:r w:rsidRPr="002C6DBB">
        <w:t>;</w:t>
      </w:r>
    </w:p>
    <w:p w:rsidR="000336F3" w:rsidRPr="002C6DBB" w:rsidRDefault="00F8651A" w:rsidP="00DD356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Православная</w:t>
      </w:r>
      <w:r w:rsidR="000336F3" w:rsidRPr="002C6DBB">
        <w:rPr>
          <w:rFonts w:ascii="Times New Roman" w:hAnsi="Times New Roman"/>
          <w:sz w:val="24"/>
          <w:szCs w:val="24"/>
        </w:rPr>
        <w:t xml:space="preserve"> миссия: проблемы, возможности, перспективы; </w:t>
      </w:r>
    </w:p>
    <w:p w:rsidR="000336F3" w:rsidRPr="002C6DBB" w:rsidRDefault="002C6DBB" w:rsidP="00DD356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336F3" w:rsidRPr="002C6DBB">
        <w:rPr>
          <w:rFonts w:ascii="Times New Roman" w:hAnsi="Times New Roman"/>
          <w:sz w:val="24"/>
          <w:szCs w:val="24"/>
        </w:rPr>
        <w:t>оциальная ответственность</w:t>
      </w:r>
      <w:r>
        <w:rPr>
          <w:rFonts w:ascii="Times New Roman" w:hAnsi="Times New Roman"/>
          <w:sz w:val="24"/>
          <w:szCs w:val="24"/>
        </w:rPr>
        <w:t xml:space="preserve"> Церкви: пандемия и проблемы экклесиологии</w:t>
      </w:r>
      <w:r w:rsidR="000336F3" w:rsidRPr="002C6DBB">
        <w:rPr>
          <w:rFonts w:ascii="Times New Roman" w:hAnsi="Times New Roman"/>
          <w:sz w:val="24"/>
          <w:szCs w:val="24"/>
        </w:rPr>
        <w:t>;</w:t>
      </w:r>
    </w:p>
    <w:p w:rsidR="002C6DBB" w:rsidRPr="002C6DBB" w:rsidRDefault="002C6DBB" w:rsidP="00DD356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Малые миссионерские формы: направления, формы реализации, ключевые задачи;</w:t>
      </w:r>
    </w:p>
    <w:p w:rsidR="002C6DBB" w:rsidRPr="002C6DBB" w:rsidRDefault="002C6DBB" w:rsidP="00DD356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 xml:space="preserve">Аспекты пастырской психиатрии </w:t>
      </w:r>
      <w:proofErr w:type="spellStart"/>
      <w:r w:rsidRPr="002C6DBB">
        <w:rPr>
          <w:rFonts w:ascii="Times New Roman" w:hAnsi="Times New Roman"/>
          <w:sz w:val="24"/>
          <w:szCs w:val="24"/>
        </w:rPr>
        <w:t>внутрицерковной</w:t>
      </w:r>
      <w:proofErr w:type="spellEnd"/>
      <w:r w:rsidRPr="002C6DBB">
        <w:rPr>
          <w:rFonts w:ascii="Times New Roman" w:hAnsi="Times New Roman"/>
          <w:sz w:val="24"/>
          <w:szCs w:val="24"/>
        </w:rPr>
        <w:t xml:space="preserve"> миссии;</w:t>
      </w:r>
    </w:p>
    <w:p w:rsidR="002C6DBB" w:rsidRPr="002C6DBB" w:rsidRDefault="002C6DBB" w:rsidP="00DD356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Соотношение богословия и благочестия в современных условиях;</w:t>
      </w:r>
    </w:p>
    <w:p w:rsidR="00F73ABB" w:rsidRPr="002C6DBB" w:rsidRDefault="00F73ABB" w:rsidP="00DD356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Церковное хозяйство и экономика будущего;</w:t>
      </w:r>
    </w:p>
    <w:p w:rsidR="000336F3" w:rsidRPr="002C6DBB" w:rsidRDefault="000336F3" w:rsidP="00DD356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color w:val="000000"/>
          <w:sz w:val="24"/>
          <w:szCs w:val="24"/>
        </w:rPr>
        <w:t>Проблемы духовной безопасности</w:t>
      </w:r>
      <w:r w:rsidR="00DD356A" w:rsidRPr="002C6DBB">
        <w:rPr>
          <w:rFonts w:ascii="Times New Roman" w:hAnsi="Times New Roman"/>
          <w:color w:val="000000"/>
          <w:sz w:val="24"/>
          <w:szCs w:val="24"/>
        </w:rPr>
        <w:t xml:space="preserve"> в современной ситуации</w:t>
      </w:r>
      <w:r w:rsidRPr="002C6DBB">
        <w:rPr>
          <w:rFonts w:ascii="Times New Roman" w:hAnsi="Times New Roman"/>
          <w:color w:val="000000"/>
          <w:sz w:val="24"/>
          <w:szCs w:val="24"/>
        </w:rPr>
        <w:t>;</w:t>
      </w:r>
    </w:p>
    <w:p w:rsidR="000336F3" w:rsidRPr="002C6DBB" w:rsidRDefault="00DD356A" w:rsidP="00DD356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Состояние и п</w:t>
      </w:r>
      <w:r w:rsidR="000336F3" w:rsidRPr="002C6DBB">
        <w:rPr>
          <w:rFonts w:ascii="Times New Roman" w:hAnsi="Times New Roman"/>
          <w:sz w:val="24"/>
          <w:szCs w:val="24"/>
        </w:rPr>
        <w:t>ерспективы развития церковного искусства;</w:t>
      </w:r>
    </w:p>
    <w:p w:rsidR="000336F3" w:rsidRPr="002C6DBB" w:rsidRDefault="000336F3" w:rsidP="00DD356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 xml:space="preserve">Подвиг мученичества и </w:t>
      </w:r>
      <w:proofErr w:type="spellStart"/>
      <w:r w:rsidRPr="002C6DBB">
        <w:rPr>
          <w:rFonts w:ascii="Times New Roman" w:hAnsi="Times New Roman"/>
          <w:sz w:val="24"/>
          <w:szCs w:val="24"/>
        </w:rPr>
        <w:t>исповедничества</w:t>
      </w:r>
      <w:proofErr w:type="spellEnd"/>
      <w:r w:rsidRPr="002C6DBB">
        <w:rPr>
          <w:rFonts w:ascii="Times New Roman" w:hAnsi="Times New Roman"/>
          <w:sz w:val="24"/>
          <w:szCs w:val="24"/>
        </w:rPr>
        <w:t xml:space="preserve"> в истории Церкви;</w:t>
      </w:r>
    </w:p>
    <w:p w:rsidR="000336F3" w:rsidRPr="002C6DBB" w:rsidRDefault="000336F3" w:rsidP="00DD356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C6DBB">
        <w:rPr>
          <w:rFonts w:ascii="Times New Roman" w:eastAsia="Times New Roman" w:hAnsi="Times New Roman"/>
          <w:sz w:val="24"/>
          <w:szCs w:val="24"/>
        </w:rPr>
        <w:t>Богословское наследие российских новомучеников и исповедников.</w:t>
      </w:r>
    </w:p>
    <w:p w:rsidR="000336F3" w:rsidRPr="002C6DBB" w:rsidRDefault="000336F3" w:rsidP="000336F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Рабочие языки конференции: русский, английский.</w:t>
      </w:r>
    </w:p>
    <w:p w:rsidR="000336F3" w:rsidRPr="002C6DBB" w:rsidRDefault="000336F3" w:rsidP="000336F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приема заявок и материалов до </w:t>
      </w:r>
      <w:r w:rsidR="002C6DBB" w:rsidRPr="002C6DB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DBB" w:rsidRPr="002C6DBB">
        <w:rPr>
          <w:rFonts w:ascii="Times New Roman" w:eastAsia="Times New Roman" w:hAnsi="Times New Roman"/>
          <w:sz w:val="24"/>
          <w:szCs w:val="24"/>
          <w:lang w:eastAsia="ru-RU"/>
        </w:rPr>
        <w:t>апреля 2021</w:t>
      </w: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36F3" w:rsidRPr="002C6DBB" w:rsidRDefault="000336F3" w:rsidP="000336F3">
      <w:pPr>
        <w:pStyle w:val="a5"/>
        <w:spacing w:line="276" w:lineRule="auto"/>
        <w:ind w:firstLine="851"/>
        <w:rPr>
          <w:iCs/>
        </w:rPr>
      </w:pPr>
      <w:r w:rsidRPr="002C6DBB">
        <w:rPr>
          <w:bCs/>
          <w:iCs/>
        </w:rPr>
        <w:t>Лучшие статьи и выступления будут размещены в базе РИНЦ</w:t>
      </w:r>
      <w:r w:rsidR="00DD356A" w:rsidRPr="002C6DBB">
        <w:rPr>
          <w:bCs/>
          <w:iCs/>
        </w:rPr>
        <w:t xml:space="preserve"> в журнале «Труды Белгородской православной духовной семинарии»</w:t>
      </w:r>
      <w:r w:rsidRPr="002C6DBB">
        <w:rPr>
          <w:bCs/>
          <w:iCs/>
        </w:rPr>
        <w:t>.</w:t>
      </w:r>
    </w:p>
    <w:p w:rsidR="000336F3" w:rsidRPr="002C6DBB" w:rsidRDefault="000336F3" w:rsidP="000336F3">
      <w:pPr>
        <w:pStyle w:val="a5"/>
        <w:ind w:firstLine="851"/>
      </w:pPr>
      <w:r w:rsidRPr="002C6DBB">
        <w:rPr>
          <w:iCs/>
        </w:rPr>
        <w:t xml:space="preserve"> Организационный взнос с участников не взимается. </w:t>
      </w:r>
      <w:r w:rsidRPr="002C6DBB">
        <w:t>Проезд участников конференции осуществляется за счет направляющей стороны.</w:t>
      </w:r>
    </w:p>
    <w:p w:rsidR="000336F3" w:rsidRPr="002C6DBB" w:rsidRDefault="000336F3" w:rsidP="000336F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справки:  </w:t>
      </w:r>
      <w:hyperlink r:id="rId5" w:history="1"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b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pds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web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DD356A" w:rsidRPr="002C6DB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научной работе БПДС </w:t>
      </w:r>
      <w:r w:rsidRPr="002C6DBB">
        <w:rPr>
          <w:rFonts w:ascii="Times New Roman" w:hAnsi="Times New Roman"/>
          <w:sz w:val="24"/>
          <w:szCs w:val="24"/>
        </w:rPr>
        <w:t>Колесников С</w:t>
      </w:r>
      <w:r w:rsidR="00DD356A" w:rsidRPr="002C6DBB">
        <w:rPr>
          <w:rFonts w:ascii="Times New Roman" w:hAnsi="Times New Roman"/>
          <w:sz w:val="24"/>
          <w:szCs w:val="24"/>
        </w:rPr>
        <w:t>ергей Александрович</w:t>
      </w:r>
      <w:r w:rsidRPr="002C6D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6DBB">
        <w:rPr>
          <w:rFonts w:ascii="Times New Roman" w:hAnsi="Times New Roman"/>
          <w:sz w:val="24"/>
          <w:szCs w:val="24"/>
        </w:rPr>
        <w:t>эл</w:t>
      </w:r>
      <w:proofErr w:type="spellEnd"/>
      <w:r w:rsidRPr="002C6DBB">
        <w:rPr>
          <w:rFonts w:ascii="Times New Roman" w:hAnsi="Times New Roman"/>
          <w:sz w:val="24"/>
          <w:szCs w:val="24"/>
        </w:rPr>
        <w:t>. адрес:</w:t>
      </w:r>
      <w:hyperlink r:id="rId6" w:history="1"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skolesnikov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2015@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C6DB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C6DBB">
        <w:rPr>
          <w:rFonts w:ascii="Times New Roman" w:hAnsi="Times New Roman"/>
          <w:sz w:val="24"/>
          <w:szCs w:val="24"/>
        </w:rPr>
        <w:t>,</w:t>
      </w:r>
    </w:p>
    <w:p w:rsidR="002C6DBB" w:rsidRDefault="002C6DBB" w:rsidP="000336F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336F3" w:rsidRPr="002C6DBB" w:rsidRDefault="000336F3" w:rsidP="000336F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6DBB">
        <w:rPr>
          <w:rFonts w:ascii="Times New Roman" w:hAnsi="Times New Roman"/>
          <w:sz w:val="24"/>
          <w:szCs w:val="24"/>
        </w:rPr>
        <w:t>Регламент выступлений – 10 минут.</w:t>
      </w:r>
    </w:p>
    <w:p w:rsidR="000336F3" w:rsidRPr="002C6DBB" w:rsidRDefault="000336F3" w:rsidP="00033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DBB">
        <w:rPr>
          <w:rFonts w:ascii="Times New Roman" w:hAnsi="Times New Roman" w:cs="Times New Roman"/>
          <w:sz w:val="24"/>
          <w:szCs w:val="24"/>
        </w:rPr>
        <w:t>Требования к оформлени</w:t>
      </w:r>
      <w:r w:rsidR="00310303" w:rsidRPr="002C6DBB">
        <w:rPr>
          <w:rFonts w:ascii="Times New Roman" w:hAnsi="Times New Roman" w:cs="Times New Roman"/>
          <w:sz w:val="24"/>
          <w:szCs w:val="24"/>
        </w:rPr>
        <w:t xml:space="preserve">ю материалов: </w:t>
      </w:r>
      <w:proofErr w:type="gramStart"/>
      <w:r w:rsidR="00310303" w:rsidRPr="002C6DB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10303" w:rsidRPr="002C6DBB">
        <w:rPr>
          <w:rFonts w:ascii="Times New Roman" w:hAnsi="Times New Roman" w:cs="Times New Roman"/>
          <w:sz w:val="24"/>
          <w:szCs w:val="24"/>
        </w:rPr>
        <w:t>. приложения</w:t>
      </w:r>
      <w:r w:rsidRPr="002C6DBB">
        <w:rPr>
          <w:rFonts w:ascii="Times New Roman" w:hAnsi="Times New Roman" w:cs="Times New Roman"/>
          <w:sz w:val="24"/>
          <w:szCs w:val="24"/>
        </w:rPr>
        <w:t>.</w:t>
      </w:r>
    </w:p>
    <w:p w:rsidR="000336F3" w:rsidRPr="002C6DBB" w:rsidRDefault="000336F3" w:rsidP="00033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 отбора статей на соответствие тематике конференции и научной значимости.</w:t>
      </w:r>
      <w:r w:rsidRPr="002C6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DBB" w:rsidRDefault="002C6DBB" w:rsidP="00033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6F3" w:rsidRPr="002C6DBB" w:rsidRDefault="000336F3" w:rsidP="00033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BB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2C6DBB" w:rsidRDefault="002C6DBB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C6DBB" w:rsidRDefault="002C6DBB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C6DBB" w:rsidRDefault="002C6DBB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336F3" w:rsidRPr="002C6DBB" w:rsidRDefault="000336F3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Обращаем внимание на требования к оформлению статей, предоставляемых в сборник. Параметры оформления статей должны соответствовать требованиям, установленным для научных журналов, включаемых в Российский индекс научного цитирования (РИНЦ). Правила оформления статей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 в приложении 1. Представляемые статьи должны содержать высокий процент оригинальности (не менее 75 %).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Объем статьи не менее 18 000 – 20 000 печатных знаков.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Статьи, не соответствующие установленным требованиям, будут отправляться на обязательную доработку авторам.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Статьи, оформленные в соответствии с указанными требованиями, принимаются проректором по научной работе на электронный адрес skolesnikov2015@yandex.ru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Публикация статей, представленных в сборник и соответствующих установленным требованиям и тематике, бесплатна. Редколлегия оставляет за собой право отклонить статьи, не соответствующие требованиям и тематике сборника.</w:t>
      </w:r>
    </w:p>
    <w:p w:rsidR="00DD356A" w:rsidRPr="002C6DBB" w:rsidRDefault="00DD356A" w:rsidP="003103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Правила оформления статей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Тексты рукописей представляются в формате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2000/XP, оформленные в соответствии с приведенными ниже правилами. Интервал одинарный, шрифт 12.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Каждая статья должна иметь код УДК.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Статья должна иметь следующую структуру: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1) имя автора — [сан] имя [отчество] (полностью) фамилия (на русском и английском языках);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2) сведения об авторе — все ученые степени, основные занимаемые в данный момент должности (на русском и английском языках); полное название организации – место работы автора, страна, город (на русском и английском языках); адрес электронной почты автора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3) название статьи (на русском и английском языках);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4) аннотация — 7-8 предложений (объемом примерно 600 знаков), в которых изложены цели, методы и результаты работы, подчеркнуты новые и важные аспекты исследования (на русском и английском языках);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5) ключевые слова — 10–15 слов, характеризующих статью, по которым она будет индексироваться в электронных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данных (на русском и английском языках); отделяются друг от друга точкой с запятой;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6) те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атьи;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7) библиография — оформленный в соответствии с библиографическими требованиями список использованной автором литературы (на русском языке);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Страницы не нумеруются. Список литературы размещается в конце статьи в алфавитном порядке. Ссылки на источники в тексте заключаются в квадратные скобки с указанием номера из списка использованных источников и номеров страниц при цитировании. Ссылки оформляются как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библиографическая ссылка согласно ГОСТ 7.0.5-2008 (см. Приложение 2). В конце статьи приводится библиография, в которой указываются все архивные документы, бумажные и </w:t>
      </w:r>
      <w:proofErr w:type="spellStart"/>
      <w:proofErr w:type="gramStart"/>
      <w:r w:rsidRPr="002C6DBB">
        <w:rPr>
          <w:rFonts w:ascii="Times New Roman" w:hAnsi="Times New Roman" w:cs="Times New Roman"/>
          <w:sz w:val="24"/>
          <w:szCs w:val="24"/>
        </w:rPr>
        <w:t>интернет-публикации</w:t>
      </w:r>
      <w:proofErr w:type="spellEnd"/>
      <w:proofErr w:type="gramEnd"/>
      <w:r w:rsidRPr="002C6DBB">
        <w:rPr>
          <w:rFonts w:ascii="Times New Roman" w:hAnsi="Times New Roman" w:cs="Times New Roman"/>
          <w:sz w:val="24"/>
          <w:szCs w:val="24"/>
        </w:rPr>
        <w:t>, на которые имеются ссылки в тексте статьи (образец оформления статьи см. Приложение 3). Не использовать табуляций и автоматических списков.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56A" w:rsidRPr="002C6DBB" w:rsidRDefault="00DD356A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Единый формат оформления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библиографических списков в соответствии с ГОСТ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7.05-2008 «Библиографическая ссылка»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Авторефераты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В. А. Исследование, разработка и построение системы электронной доставки документов в библиотеке: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наук. — Новосибирск, 2000. — 18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lastRenderedPageBreak/>
        <w:t>Аналитические обзоры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Экономика и политика России и государств ближнего зарубежья 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обзор, апр. 2007,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наук,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мировой экономики и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отношений. — М.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ИМЭМО, 2007. — 39 с.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Диссертации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Фенухин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В. И. Этнополитические конфликты в современной России: на примере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Северо-Кавказкого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региона 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… канд. полит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аук. — М., 2002. - С.54—55.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6DBB">
        <w:rPr>
          <w:rFonts w:ascii="Times New Roman" w:hAnsi="Times New Roman" w:cs="Times New Roman"/>
          <w:sz w:val="24"/>
          <w:szCs w:val="24"/>
        </w:rPr>
        <w:t>Интернет-документы</w:t>
      </w:r>
      <w:proofErr w:type="spellEnd"/>
      <w:proofErr w:type="gramEnd"/>
      <w:r w:rsidRPr="002C6DBB">
        <w:rPr>
          <w:rFonts w:ascii="Times New Roman" w:hAnsi="Times New Roman" w:cs="Times New Roman"/>
          <w:sz w:val="24"/>
          <w:szCs w:val="24"/>
        </w:rPr>
        <w:t>: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Официальные периодические издания : электронный путеводитель /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б-ка, Центр правовой информации. [СПб], 200520076. URL: http://www.nlr.ru/lawcrnter/izd/index.html (дата обращения: 18.01.2007)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интернет-журн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21.10.03. URL: http://www.oim.ru/reader.asp?nomer=366 (дата обращения: 17.04.07)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Литчфорд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Е. У. С Белой Армией по Сибири [Электронный ресурс] // Восточный фронт армии Генерала А. В. Колчака: сайт. – URL: http://east-front.narod.ru/memo/latchford.htm (дата обращения: 23.08.2007)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Материалы конференций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Археология: история и перспективы: сб. ст. Первой межрегиональной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., Ярославль, 2003. 350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Марьинских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Д.М.,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Ксерос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(Иркутск, 11=12 сент.200 г.). – Новосибирск, 2000. - С.125–128.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Монографии: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Тарасова В. И. Политическая история Латинской Америки 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вузов. – М.: Проспект, 2006. – С.305–412.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Философия культуры и философия науки: проблемы и гипотезы: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ун-т; [под ред. С. Ф.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Мартыновича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]. Саратов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ун-та, 1999. – 199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, Б. А. Современный экономический словарь / Б. А.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, Л. Ш. Лозовский, Е. Б. Стародубцева. – 5-е изд.,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и доп. – М.:ИНФРА-М, 2006. – 494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Статья из журналов или сборников: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Т. В. К логике социальных наук //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философии. – 1992. – №10. – С. 76–86.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BB">
        <w:rPr>
          <w:rFonts w:ascii="Times New Roman" w:hAnsi="Times New Roman" w:cs="Times New Roman"/>
          <w:sz w:val="24"/>
          <w:szCs w:val="24"/>
          <w:lang w:val="en-US"/>
        </w:rPr>
        <w:t>Crawford P. J., Barrett T. P.</w:t>
      </w:r>
      <w:proofErr w:type="gram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 The reference librarian and the business professor: a strategic alliance that works // Ref.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Libr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3. № 58. P.75–85.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Кузнецов, А. 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мир, 2003. – С.340–342.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Электронный ресурс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Художественная энциклопедия зарубежного классического искусства [Электронный ресурс]. – М. : Большая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нцикл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[и др.], 1996. – 1 электрон. опт. диск (CD-ROM).</w:t>
      </w:r>
    </w:p>
    <w:p w:rsidR="00DD356A" w:rsidRDefault="00DD356A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C6DBB" w:rsidRDefault="002C6DBB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C6DBB" w:rsidRDefault="002C6DBB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C6DBB" w:rsidRDefault="002C6DBB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C6DBB" w:rsidRDefault="002C6DBB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C6DBB" w:rsidRDefault="002C6DBB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C6DBB" w:rsidRDefault="002C6DBB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C6DBB" w:rsidRPr="002C6DBB" w:rsidRDefault="002C6DBB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D356A" w:rsidRPr="002C6DBB" w:rsidRDefault="00DD356A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D356A" w:rsidRPr="002C6DBB" w:rsidRDefault="00DD356A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УДК 008-027.21</w:t>
      </w:r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Колесников Сергей Александрович</w:t>
      </w:r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проректор по научной работе Белгородской духовной семинарии,</w:t>
      </w:r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 Белгород</w:t>
      </w:r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Skolesnikov2015@yandex.ru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BB">
        <w:rPr>
          <w:rFonts w:ascii="Times New Roman" w:hAnsi="Times New Roman" w:cs="Times New Roman"/>
          <w:b/>
          <w:sz w:val="24"/>
          <w:szCs w:val="24"/>
        </w:rPr>
        <w:t>Метафизика света и тени в богословии иконы о. Павла Флоренского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Аннотация: В данной статье рассматривается вопрос о своеобразии богословия иконы в трудах о. Павла Флоренского. Особый акцент в статье делается на решении проблемы взаимоотношения лица и лика, фиксации тех выводов, которые делал о. П. Флоренский при рении данной проблемы. К основным выводам можно отнести следующие: тесная духовная связь между реальным лицом и иконописным ликом; возможность воздействия иконного образа на внешний облик созерцателя; уподобление лика Божьему образу; опасность духовного оскудения, внешне проявляющаяся в деградации облика в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личину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; специфика пространственно-временных отношений между молитвенником и иконой; формирование основных положений богословского искусствоведения. 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 xml:space="preserve">Ключевые слова: П.А. Флоренский; богословие иконы; богословское искусствоведение; иконный лик; лицо;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личина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; иконопись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C6DBB">
        <w:rPr>
          <w:rFonts w:ascii="Times New Roman" w:hAnsi="Times New Roman" w:cs="Times New Roman"/>
          <w:sz w:val="24"/>
          <w:szCs w:val="24"/>
          <w:lang w:val="en-US"/>
        </w:rPr>
        <w:t>Kolesnikov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 Sergey A.</w:t>
      </w:r>
      <w:proofErr w:type="gramEnd"/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Doctor of philological Sciences, </w:t>
      </w:r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>Vice-rector for research, Belgorod theological Seminary,</w:t>
      </w:r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>Russia, Belgorod</w:t>
      </w:r>
    </w:p>
    <w:p w:rsidR="00DD356A" w:rsidRPr="002C6DBB" w:rsidRDefault="00DD356A" w:rsidP="00DD356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>Skolesnikov2015@yandex.ru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Metaphysics of light and shadow in the theology of icon </w:t>
      </w:r>
      <w:proofErr w:type="spellStart"/>
      <w:r w:rsidRPr="002C6DBB">
        <w:rPr>
          <w:rFonts w:ascii="Times New Roman" w:hAnsi="Times New Roman" w:cs="Times New Roman"/>
          <w:b/>
          <w:sz w:val="24"/>
          <w:szCs w:val="24"/>
          <w:lang w:val="en-US"/>
        </w:rPr>
        <w:t>Pavel</w:t>
      </w:r>
      <w:proofErr w:type="spellEnd"/>
      <w:r w:rsidRPr="002C6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6DBB">
        <w:rPr>
          <w:rFonts w:ascii="Times New Roman" w:hAnsi="Times New Roman" w:cs="Times New Roman"/>
          <w:b/>
          <w:sz w:val="24"/>
          <w:szCs w:val="24"/>
          <w:lang w:val="en-US"/>
        </w:rPr>
        <w:t>Florensky</w:t>
      </w:r>
      <w:proofErr w:type="spellEnd"/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Abstract: this article considers the question about the originality of the theology of icons in the works of O.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. Special emphasis is made on solving the problem of the relationship between face and face, fixing what conclusions did the O. P.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 in the reconciliation of this problem. The main findings include the following: a spiritual connection between the real person and iconographic face; the possible impact of the icon image on the appearance of the contemplator; the likening of the face of God pattern; the danger of spiritual impoverishment, outwardly manifested in the degradation of the image in the mask; the specificity of the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-temporal relationship between the prayer book and icon; the formation of the main provisions in the theological arts. 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DBB">
        <w:rPr>
          <w:rFonts w:ascii="Times New Roman" w:hAnsi="Times New Roman" w:cs="Times New Roman"/>
          <w:sz w:val="24"/>
          <w:szCs w:val="24"/>
          <w:lang w:val="en-US"/>
        </w:rPr>
        <w:t xml:space="preserve">Key words: P. A. </w:t>
      </w:r>
      <w:proofErr w:type="spellStart"/>
      <w:r w:rsidRPr="002C6DBB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2C6DBB">
        <w:rPr>
          <w:rFonts w:ascii="Times New Roman" w:hAnsi="Times New Roman" w:cs="Times New Roman"/>
          <w:sz w:val="24"/>
          <w:szCs w:val="24"/>
          <w:lang w:val="en-US"/>
        </w:rPr>
        <w:t>; the theology of the icon; theological criticism; the icon of the face; face; mask; iconography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атьи………………………………………………………….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Ссылки на источники внутри текста в квадратных скобках [2, с. 46]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356A" w:rsidRPr="002C6DBB" w:rsidRDefault="00DD356A" w:rsidP="00DD35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C6DBB">
        <w:rPr>
          <w:rFonts w:ascii="Times New Roman" w:hAnsi="Times New Roman" w:cs="Times New Roman"/>
          <w:sz w:val="24"/>
          <w:szCs w:val="24"/>
        </w:rPr>
        <w:tab/>
        <w:t xml:space="preserve">П. А. Флоренский: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/ Сост., вступ. ст., примеч. и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>. К. Г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. - СПб.: РХГИ, 1996. – 480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2.</w:t>
      </w:r>
      <w:r w:rsidRPr="002C6D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6DBB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2C6DBB">
        <w:rPr>
          <w:rFonts w:ascii="Times New Roman" w:hAnsi="Times New Roman" w:cs="Times New Roman"/>
          <w:sz w:val="24"/>
          <w:szCs w:val="24"/>
        </w:rPr>
        <w:t xml:space="preserve"> А. Мировая духовная культура. Христианство. Церковь. – М.: Фонд имени Александра Меня, 1995. – 264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3.</w:t>
      </w:r>
      <w:r w:rsidRPr="002C6DBB">
        <w:rPr>
          <w:rFonts w:ascii="Times New Roman" w:hAnsi="Times New Roman" w:cs="Times New Roman"/>
          <w:sz w:val="24"/>
          <w:szCs w:val="24"/>
        </w:rPr>
        <w:tab/>
        <w:t xml:space="preserve">Флоренский П., священник. Сочинения в четырех томах. Том 2. - М.: Мысль, 1996. – 320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</w:t>
      </w:r>
    </w:p>
    <w:p w:rsidR="00DD356A" w:rsidRPr="002C6DBB" w:rsidRDefault="00DD356A" w:rsidP="00DD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DBB">
        <w:rPr>
          <w:rFonts w:ascii="Times New Roman" w:hAnsi="Times New Roman" w:cs="Times New Roman"/>
          <w:sz w:val="24"/>
          <w:szCs w:val="24"/>
        </w:rPr>
        <w:t>4.</w:t>
      </w:r>
      <w:r w:rsidRPr="002C6DBB">
        <w:rPr>
          <w:rFonts w:ascii="Times New Roman" w:hAnsi="Times New Roman" w:cs="Times New Roman"/>
          <w:sz w:val="24"/>
          <w:szCs w:val="24"/>
        </w:rPr>
        <w:tab/>
        <w:t xml:space="preserve">Степун Ф.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Бывшее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 xml:space="preserve"> и несбывшееся. Т. 1 . - Нью-Йорк: Изд-во им. Чехова, 1956. – 284 </w:t>
      </w:r>
      <w:proofErr w:type="gramStart"/>
      <w:r w:rsidRPr="002C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DBB">
        <w:rPr>
          <w:rFonts w:ascii="Times New Roman" w:hAnsi="Times New Roman" w:cs="Times New Roman"/>
          <w:sz w:val="24"/>
          <w:szCs w:val="24"/>
        </w:rPr>
        <w:t>.</w:t>
      </w:r>
    </w:p>
    <w:sectPr w:rsidR="00DD356A" w:rsidRPr="002C6DBB" w:rsidSect="00D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E7"/>
    <w:multiLevelType w:val="hybridMultilevel"/>
    <w:tmpl w:val="ED7E9D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A684D23"/>
    <w:multiLevelType w:val="hybridMultilevel"/>
    <w:tmpl w:val="179AF4BC"/>
    <w:lvl w:ilvl="0" w:tplc="96862BB4">
      <w:numFmt w:val="bullet"/>
      <w:lvlText w:val="•"/>
      <w:lvlJc w:val="left"/>
      <w:pPr>
        <w:ind w:left="2261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336F3"/>
    <w:rsid w:val="000336F3"/>
    <w:rsid w:val="00036A3D"/>
    <w:rsid w:val="00063198"/>
    <w:rsid w:val="000A536A"/>
    <w:rsid w:val="000E07E4"/>
    <w:rsid w:val="000E5249"/>
    <w:rsid w:val="000E6330"/>
    <w:rsid w:val="000E7AE6"/>
    <w:rsid w:val="0010293F"/>
    <w:rsid w:val="00116C2E"/>
    <w:rsid w:val="001C485B"/>
    <w:rsid w:val="001E0FC4"/>
    <w:rsid w:val="002C6DBB"/>
    <w:rsid w:val="00310303"/>
    <w:rsid w:val="00434D8E"/>
    <w:rsid w:val="00441CD6"/>
    <w:rsid w:val="00547BB7"/>
    <w:rsid w:val="00560F4B"/>
    <w:rsid w:val="005F1B2E"/>
    <w:rsid w:val="00664704"/>
    <w:rsid w:val="006C42E5"/>
    <w:rsid w:val="00733121"/>
    <w:rsid w:val="008221EE"/>
    <w:rsid w:val="00863351"/>
    <w:rsid w:val="008B6889"/>
    <w:rsid w:val="00983332"/>
    <w:rsid w:val="009C5935"/>
    <w:rsid w:val="00A149E8"/>
    <w:rsid w:val="00A32190"/>
    <w:rsid w:val="00A50AD1"/>
    <w:rsid w:val="00AE7FBA"/>
    <w:rsid w:val="00BD68A9"/>
    <w:rsid w:val="00C54514"/>
    <w:rsid w:val="00D03150"/>
    <w:rsid w:val="00D974F3"/>
    <w:rsid w:val="00DB7AC0"/>
    <w:rsid w:val="00DD356A"/>
    <w:rsid w:val="00DF2138"/>
    <w:rsid w:val="00DF52E5"/>
    <w:rsid w:val="00E15A4C"/>
    <w:rsid w:val="00E51607"/>
    <w:rsid w:val="00EE382E"/>
    <w:rsid w:val="00F06F93"/>
    <w:rsid w:val="00F62E4F"/>
    <w:rsid w:val="00F73ABB"/>
    <w:rsid w:val="00F8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36F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0336F3"/>
    <w:rPr>
      <w:color w:val="0000FF"/>
      <w:u w:val="single"/>
    </w:rPr>
  </w:style>
  <w:style w:type="paragraph" w:styleId="a5">
    <w:name w:val="Body Text Indent"/>
    <w:basedOn w:val="a"/>
    <w:link w:val="a6"/>
    <w:rsid w:val="000336F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336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D3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esnikov2015@yandex.ru" TargetMode="External"/><Relationship Id="rId5" Type="http://schemas.openxmlformats.org/officeDocument/2006/relationships/hyperlink" Target="mailto:bpds_w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2019-02-27T18:03:00Z</dcterms:created>
  <dcterms:modified xsi:type="dcterms:W3CDTF">2021-02-24T15:19:00Z</dcterms:modified>
</cp:coreProperties>
</file>