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Default="009629FF" w:rsidP="007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629FF" w:rsidRDefault="005106F3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4C2F">
        <w:rPr>
          <w:rFonts w:ascii="Times New Roman" w:hAnsi="Times New Roman" w:cs="Times New Roman"/>
          <w:sz w:val="28"/>
          <w:szCs w:val="28"/>
        </w:rPr>
        <w:t xml:space="preserve">1 </w:t>
      </w:r>
      <w:r w:rsidR="00B13FC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04C2F">
        <w:rPr>
          <w:rFonts w:ascii="Times New Roman" w:hAnsi="Times New Roman" w:cs="Times New Roman"/>
          <w:sz w:val="28"/>
          <w:szCs w:val="28"/>
        </w:rPr>
        <w:t>202</w:t>
      </w:r>
      <w:r w:rsidR="00B13FC9">
        <w:rPr>
          <w:rFonts w:ascii="Times New Roman" w:hAnsi="Times New Roman" w:cs="Times New Roman"/>
          <w:sz w:val="28"/>
          <w:szCs w:val="28"/>
        </w:rPr>
        <w:t>2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года объявляется прием материалов в очередной (</w:t>
      </w:r>
      <w:r w:rsidR="00B13FC9">
        <w:rPr>
          <w:rFonts w:ascii="Times New Roman" w:hAnsi="Times New Roman" w:cs="Times New Roman"/>
          <w:sz w:val="28"/>
          <w:szCs w:val="28"/>
        </w:rPr>
        <w:t>четырнадцатый</w:t>
      </w:r>
      <w:r w:rsidR="009629FF">
        <w:rPr>
          <w:rFonts w:ascii="Times New Roman" w:hAnsi="Times New Roman" w:cs="Times New Roman"/>
          <w:sz w:val="28"/>
          <w:szCs w:val="28"/>
        </w:rPr>
        <w:t>) сборник «Труды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В соответствии с указаниями Учебного комитета Русской Православной Церкви с целью повышения рейтингового уровня семинарии научное содержание каждой дисциплины учебного плана должно быть представлено в качестве реального научного результата, т.е. научной статьи. </w:t>
      </w:r>
      <w:r w:rsidR="009629FF">
        <w:rPr>
          <w:rFonts w:ascii="Times New Roman" w:hAnsi="Times New Roman" w:cs="Times New Roman"/>
          <w:sz w:val="28"/>
          <w:szCs w:val="28"/>
        </w:rPr>
        <w:t xml:space="preserve">Согласно распоряжению проректора по научной работе </w:t>
      </w:r>
      <w:r w:rsidR="009629FF" w:rsidRPr="00A478A3">
        <w:rPr>
          <w:rFonts w:ascii="Times New Roman" w:hAnsi="Times New Roman" w:cs="Times New Roman"/>
          <w:sz w:val="28"/>
          <w:szCs w:val="28"/>
        </w:rPr>
        <w:t>предлаг</w:t>
      </w:r>
      <w:r w:rsidR="009629FF">
        <w:rPr>
          <w:rFonts w:ascii="Times New Roman" w:hAnsi="Times New Roman" w:cs="Times New Roman"/>
          <w:sz w:val="28"/>
          <w:szCs w:val="28"/>
        </w:rPr>
        <w:t>ается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каждому преподавателю семинарии представить не менее одной статьи по своей дисциплине (направлению) в сборник «Труд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Православной 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 xml:space="preserve">Срок предоставления статей – до </w:t>
      </w:r>
      <w:r w:rsidR="00B13FC9">
        <w:rPr>
          <w:rFonts w:ascii="Times New Roman" w:hAnsi="Times New Roman" w:cs="Times New Roman"/>
          <w:sz w:val="28"/>
          <w:szCs w:val="28"/>
        </w:rPr>
        <w:t>15 мая</w:t>
      </w:r>
      <w:r w:rsidRPr="00A478A3">
        <w:rPr>
          <w:rFonts w:ascii="Times New Roman" w:hAnsi="Times New Roman" w:cs="Times New Roman"/>
          <w:sz w:val="28"/>
          <w:szCs w:val="28"/>
        </w:rPr>
        <w:t xml:space="preserve"> 20</w:t>
      </w:r>
      <w:r w:rsidR="00404C2F">
        <w:rPr>
          <w:rFonts w:ascii="Times New Roman" w:hAnsi="Times New Roman" w:cs="Times New Roman"/>
          <w:sz w:val="28"/>
          <w:szCs w:val="28"/>
        </w:rPr>
        <w:t>2</w:t>
      </w:r>
      <w:r w:rsidR="00B13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4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9FF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78A3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478A3">
        <w:rPr>
          <w:rFonts w:ascii="Times New Roman" w:hAnsi="Times New Roman" w:cs="Times New Roman"/>
          <w:sz w:val="28"/>
          <w:szCs w:val="28"/>
        </w:rPr>
        <w:t xml:space="preserve"> требования к оформлению статей, предоставляемых в сборник. 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Правила оформ</w:t>
      </w:r>
      <w:bookmarkStart w:id="0" w:name="_GoBack"/>
      <w:bookmarkEnd w:id="0"/>
      <w:r w:rsidRPr="00A478A3">
        <w:rPr>
          <w:rFonts w:ascii="Times New Roman" w:hAnsi="Times New Roman" w:cs="Times New Roman"/>
          <w:sz w:val="28"/>
          <w:szCs w:val="28"/>
        </w:rPr>
        <w:t xml:space="preserve">ления статей </w:t>
      </w:r>
      <w:proofErr w:type="gramStart"/>
      <w:r w:rsidRPr="00A478A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478A3">
        <w:rPr>
          <w:rFonts w:ascii="Times New Roman" w:hAnsi="Times New Roman" w:cs="Times New Roman"/>
          <w:sz w:val="28"/>
          <w:szCs w:val="28"/>
        </w:rPr>
        <w:t>. в приложени</w:t>
      </w:r>
      <w:r w:rsidR="00261171">
        <w:rPr>
          <w:rFonts w:ascii="Times New Roman" w:hAnsi="Times New Roman" w:cs="Times New Roman"/>
          <w:sz w:val="28"/>
          <w:szCs w:val="28"/>
        </w:rPr>
        <w:t>ях</w:t>
      </w:r>
      <w:r w:rsidRPr="00A478A3">
        <w:rPr>
          <w:rFonts w:ascii="Times New Roman" w:hAnsi="Times New Roman" w:cs="Times New Roman"/>
          <w:sz w:val="28"/>
          <w:szCs w:val="28"/>
        </w:rPr>
        <w:t>. Представляемые статьи должны содержать высокий про</w:t>
      </w:r>
      <w:r w:rsidR="00B13FC9">
        <w:rPr>
          <w:rFonts w:ascii="Times New Roman" w:hAnsi="Times New Roman" w:cs="Times New Roman"/>
          <w:sz w:val="28"/>
          <w:szCs w:val="28"/>
        </w:rPr>
        <w:t>цент оригинальности (не менее 70</w:t>
      </w:r>
      <w:r w:rsidRPr="00A478A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629FF" w:rsidRDefault="00A9792C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не менее 18 000 – 20 000 печатных знаков</w:t>
      </w:r>
      <w:r w:rsidR="009629FF">
        <w:rPr>
          <w:rFonts w:ascii="Times New Roman" w:hAnsi="Times New Roman" w:cs="Times New Roman"/>
          <w:sz w:val="28"/>
          <w:szCs w:val="28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не соответствующие установленным требованиям, будут отправляться на обязательную доработку авторам.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Правила оформления статей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Тексты рукописей представляются в формате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2000/XP, оформленные в соответствии с приведенными ниже правилами.</w:t>
      </w:r>
      <w:r w:rsidR="00A9792C">
        <w:rPr>
          <w:rFonts w:ascii="Times New Roman" w:hAnsi="Times New Roman" w:cs="Times New Roman"/>
          <w:sz w:val="24"/>
          <w:szCs w:val="24"/>
        </w:rPr>
        <w:t xml:space="preserve"> Интервал одинарный, шрифт 12.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Каждая статья должна иметь код УДК.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должна иметь следующую структуру: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1) имя автора — [сан] имя [отчество] (полностью) фамилия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3) название статьи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5) ключевые слова — 10–15 слов, характеризующих статью, по которым она будет индексироваться в электронных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данных (на русском и английском языках); отделяются друг от друга точкой с запятой;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6) те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атьи;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A3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Страницы не нумеруются. Список литературы размещается в конце статьи в алфавитном порядке. Ссылки на источники в тексте заключаются в квадратные скобки с 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согласно ГОСТ 7.0.5-2008 (см. Приложение 2). В конце статьи приводится библиография, в которой указываются все архивные документы, бумажные и </w:t>
      </w: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</w:rPr>
        <w:t>интернет-публикации</w:t>
      </w:r>
      <w:proofErr w:type="spellEnd"/>
      <w:proofErr w:type="gramEnd"/>
      <w:r w:rsidRPr="00A478A3">
        <w:rPr>
          <w:rFonts w:ascii="Times New Roman" w:hAnsi="Times New Roman" w:cs="Times New Roman"/>
          <w:sz w:val="24"/>
          <w:szCs w:val="24"/>
        </w:rPr>
        <w:t>, на которые имеются ссылки в тексте статьи (образец оформления статьи см. Приложение 3). Не использовать табуляций и автоматических списков.</w:t>
      </w:r>
    </w:p>
    <w:p w:rsidR="009629FF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Единый формат оформления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библиографических списков в соответствии с ГОСТ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7.05-2008 «Библиографическая ссылка»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Авторефераты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А. Исследование, разработка и построение системы электронной доставки документов в библиотеке: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наук. — Новосибирск, 2000. — 18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Аналитические обзоры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обзор, апр. 2007,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мировой экономики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отношений. — М.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ИМЭМО, 2007. — 39 с.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Диссертации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Северо-Кавказкого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региона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… канд. полит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аук. — М., 2002. - С.54—55.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</w:rPr>
        <w:t>Интернет-документы</w:t>
      </w:r>
      <w:proofErr w:type="spellEnd"/>
      <w:proofErr w:type="gramEnd"/>
      <w:r w:rsidRPr="00A478A3">
        <w:rPr>
          <w:rFonts w:ascii="Times New Roman" w:hAnsi="Times New Roman" w:cs="Times New Roman"/>
          <w:sz w:val="24"/>
          <w:szCs w:val="24"/>
        </w:rPr>
        <w:t>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 : электронный путеводитель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б-ка, Центр правовой информации. [СПб], 200520076. URL: http://www.nlr.ru/lawcrnter/izd/index.html (дата обращения: 18.01.2007)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интернет-журн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21.10.03. URL: http://www.oim.ru/reader.asp?nomer=366 (дата обращения: 17.04.07)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lastRenderedPageBreak/>
        <w:t>Литчфорд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Материалы конференций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межрегиональной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., Ярославль, 2003. 350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Ксерос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(Иркутск, 11=12 сент.200 г.). – Новосибирск, 2000. - С.125–128.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Монографии: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Тарасова В. И. Политическая история Латинской Америки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вузов. – М.: Проспект, 2006. – С.305–412.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Философия культуры и философия н</w:t>
      </w:r>
      <w:r>
        <w:rPr>
          <w:rFonts w:ascii="Times New Roman" w:hAnsi="Times New Roman" w:cs="Times New Roman"/>
          <w:sz w:val="24"/>
          <w:szCs w:val="24"/>
        </w:rPr>
        <w:t xml:space="preserve">ауки: проблемы и гипотезы: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ун-т; [под ред. С. Ф.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]. Саратов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ун-та, 1999. – 199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Б. А. Современный экономический словарь / Б. А.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– 5-е изд.,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и доп. – М.:ИНФРА-М, 2006. – 494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из журналов или сборников: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философии. – 1992. – №10. – С. 76–86.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A3">
        <w:rPr>
          <w:rFonts w:ascii="Times New Roman" w:hAnsi="Times New Roman" w:cs="Times New Roman"/>
          <w:sz w:val="24"/>
          <w:szCs w:val="24"/>
          <w:lang w:val="en-US"/>
        </w:rPr>
        <w:t>Crawford P. J., Barrett T. P.</w:t>
      </w:r>
      <w:proofErr w:type="gram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The reference librarian and the business professor: a strategic alliance that works // Ref.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3. № 58. P.75–85.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мир, 2003. – С.340–342.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[и др.], 1996. – 1 электрон. опт. диск (CD-ROM).</w:t>
      </w:r>
    </w:p>
    <w:p w:rsidR="00A9792C" w:rsidRDefault="00A9792C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УДК 008-027.21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Колесников Сергей Александрович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проректор по научной работе Белгородской духовной семинарии,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 Белгород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AE">
        <w:rPr>
          <w:rFonts w:ascii="Times New Roman" w:hAnsi="Times New Roman" w:cs="Times New Roman"/>
          <w:b/>
          <w:sz w:val="24"/>
          <w:szCs w:val="24"/>
        </w:rPr>
        <w:t>Метафизика света и тени в богословии иконы о. Павла Флоренского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Аннотация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; специфика пространственно-временных отношений между </w:t>
      </w:r>
      <w:r w:rsidRPr="00A478A3">
        <w:rPr>
          <w:rFonts w:ascii="Times New Roman" w:hAnsi="Times New Roman" w:cs="Times New Roman"/>
          <w:sz w:val="24"/>
          <w:szCs w:val="24"/>
        </w:rPr>
        <w:lastRenderedPageBreak/>
        <w:t xml:space="preserve">молитвенником и иконой; формирование основных положений богословского искусствоведения.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Ключевые слова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П.А. Флоренский; богословие иконы; богословское искусствоведение; иконный лик; лицо;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; иконопись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  <w:lang w:val="en-US"/>
        </w:rPr>
        <w:t>Kolesnikov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Sergey A.</w:t>
      </w:r>
      <w:proofErr w:type="gramEnd"/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Sciences, 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Vice-rector for research, Belgorod theological Seminary,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Russia, Belgorod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Metaphysics of light and shadow in the theology of icon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Florensky</w:t>
      </w:r>
      <w:proofErr w:type="spellEnd"/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: this article considers the question about the originality of the theology of icons in the works of O.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-temporal relationship between the prayer book and icon; the formation of the main provisions in the theological arts.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P. A.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>; the theology of the icon; theological criticism; the icon of the face; face; mask; iconography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атьи………………………………………………………….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Ссылки на источники внутри текста в квадратных скобках [2, с. 46]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П. А. Флоренский: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/ Сост., вступ. ст., примеч.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К. Г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- СПб.: РХГИ, 1996. – 480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2.</w:t>
      </w:r>
      <w:r w:rsidRPr="00A47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А. Мировая духовная культура. Христианство. Церковь. – М.: Фонд имени Александра Меня, 1995. – 264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Флоренский П., священник. Сочинения в четырех томах. Том 2. - М.: Мысль, 1996. – 320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Степун Ф.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Бывшее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 несбывшееся. Т. 1 . - Нью-Йорк: Изд-во им. Чехова, 1956. – 284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Default="009629FF" w:rsidP="007F44A8">
      <w:pPr>
        <w:spacing w:after="0" w:line="240" w:lineRule="auto"/>
        <w:ind w:firstLine="851"/>
      </w:pPr>
    </w:p>
    <w:p w:rsidR="00DB7AC0" w:rsidRDefault="00DB7AC0" w:rsidP="007F44A8">
      <w:pPr>
        <w:spacing w:after="0" w:line="240" w:lineRule="auto"/>
      </w:pPr>
    </w:p>
    <w:sectPr w:rsidR="00DB7AC0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9FF"/>
    <w:rsid w:val="00036A3D"/>
    <w:rsid w:val="000A49D4"/>
    <w:rsid w:val="000A536A"/>
    <w:rsid w:val="000E07E4"/>
    <w:rsid w:val="000E5249"/>
    <w:rsid w:val="000E6330"/>
    <w:rsid w:val="000E7AE6"/>
    <w:rsid w:val="0010293F"/>
    <w:rsid w:val="00116C2E"/>
    <w:rsid w:val="00136092"/>
    <w:rsid w:val="00161AA6"/>
    <w:rsid w:val="001E0FC4"/>
    <w:rsid w:val="00261171"/>
    <w:rsid w:val="002C0D78"/>
    <w:rsid w:val="00404C2F"/>
    <w:rsid w:val="00434D8E"/>
    <w:rsid w:val="00441CD6"/>
    <w:rsid w:val="005106F3"/>
    <w:rsid w:val="00547BB7"/>
    <w:rsid w:val="005F1B2E"/>
    <w:rsid w:val="00664704"/>
    <w:rsid w:val="00666576"/>
    <w:rsid w:val="006C42E5"/>
    <w:rsid w:val="0078467C"/>
    <w:rsid w:val="007F44A8"/>
    <w:rsid w:val="007F6F50"/>
    <w:rsid w:val="008221EE"/>
    <w:rsid w:val="00863351"/>
    <w:rsid w:val="008B6889"/>
    <w:rsid w:val="009629FF"/>
    <w:rsid w:val="00983332"/>
    <w:rsid w:val="009C5935"/>
    <w:rsid w:val="009F2FC8"/>
    <w:rsid w:val="00A50AD1"/>
    <w:rsid w:val="00A923E4"/>
    <w:rsid w:val="00A9792C"/>
    <w:rsid w:val="00AE7FBA"/>
    <w:rsid w:val="00B13FC9"/>
    <w:rsid w:val="00B64074"/>
    <w:rsid w:val="00BD68A9"/>
    <w:rsid w:val="00C54514"/>
    <w:rsid w:val="00C76986"/>
    <w:rsid w:val="00D03150"/>
    <w:rsid w:val="00D45BF5"/>
    <w:rsid w:val="00D813CD"/>
    <w:rsid w:val="00D974F3"/>
    <w:rsid w:val="00DB7AC0"/>
    <w:rsid w:val="00DB7C98"/>
    <w:rsid w:val="00DD7C98"/>
    <w:rsid w:val="00DF2138"/>
    <w:rsid w:val="00DF52E5"/>
    <w:rsid w:val="00E51607"/>
    <w:rsid w:val="00EB62E0"/>
    <w:rsid w:val="00EE382E"/>
    <w:rsid w:val="00F06F93"/>
    <w:rsid w:val="00F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2018-10-19T14:20:00Z</dcterms:created>
  <dcterms:modified xsi:type="dcterms:W3CDTF">2022-03-30T17:55:00Z</dcterms:modified>
</cp:coreProperties>
</file>